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6dc75da2be43a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46663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DJEČJI VRTIĆ LEKENIK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639.076,77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874.570,89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660.391,49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807.493,08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67.077,81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2.260,79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12.566,77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555,9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2.260,79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12.566,77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555,9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54.511,04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Ukupni prihodi poslovanja ostvareni su u iznosu od 874.570,89 eura, što je 36,8 %  više u odnosu na ostvarene prihode poslovanja u prošlogodišnjem izvještajnom razdoblju. Porast prihoda se odnosi na  tekuće pomoći proračunskim korisnicima iz proračuna koji im nije nadležan - značajno povećanje za 192,9%, koje se odnosi na pomoći iz Državnog proračuna  za sufinanciranje potreba javnih programa u predškolskom odgoju i obrazovanju u 2025.g. za sufinanciranje programa predškolskog odgoja i obrazovanja djece s teškoćama u dječjim vrtićima, te prihodi iz nadležnog proračuna za financiranje rashoda poslovanja povećani su za 40,2 % u odnosu na prošlu godinu, zbog povećanja plaća i otvaranja nove odgojno - obrazovne skupine.</w:t>
      </w:r>
    </w:p>
    <w:p>
      <w:r>
        <w:t xml:space="preserve">Ukupni rashodi poslovanja iznose 807.493,08 eura, što je 22,3 % više u odnosu na rashode poslovanja u prošlogodišnjem izvještajnom razdoblju. Najviše su povećani rashodi sitnog inventara zbog nabave potrebnog za otvaranje nove odgojno-obrazovne skupine, rashodi za nabavu službene radne odjeće i obuće zbog sklapanja ugovora s URIHOM, vezano za zamjensku kvotu, zatim zdravstvene usluge zbog sklapanja ugovora s logopedom, reprezentacija - svećano otvorenje nove odgojno - obrazovne skupine, rashodi za zaposlene, zbog povećanja plaća zaposlenih. </w:t>
      </w:r>
    </w:p>
    <w:p>
      <w:r>
        <w:t xml:space="preserve">Ukupni rashodi za nabavu nefinancijske imovine su značajno povećani zbog nabave opreme i namještaja za potrebe otvaranja nove odgojno - obrazovne skupine.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1.382,40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4.049,70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292,9</w:t>
            </w:r>
          </w:p>
        </w:tc>
      </w:tr>
    </w:tbl>
    <w:p>
      <w:pPr>
        <w:spacing w:before="0" w:after="0"/>
      </w:pPr>
    </w:p>
    <w:p>
      <w:r>
        <w:t xml:space="preserve">Značajno povećanje za 192,9%, koje se odnosi na pomoći iz Državnog proračuna  za sufinanciranje potreba javnih programa u predškolskom odgoju i obrazovanju u 2025.g., za sufinanciranje programa predškolskog odgoja i obrazovanja djece s teškoćama u dječjim vrtićima.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80.327,62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79.661,72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99,2</w:t>
            </w:r>
          </w:p>
        </w:tc>
      </w:tr>
    </w:tbl>
    <w:p>
      <w:pPr>
        <w:spacing w:before="0" w:after="0"/>
      </w:pPr>
    </w:p>
    <w:p>
      <w:r>
        <w:t xml:space="preserve">Ostali nespomenuti prihodi su približno isti kao i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555.157,60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778.525,56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140,2</w:t>
            </w:r>
          </w:p>
        </w:tc>
      </w:tr>
    </w:tbl>
    <w:p>
      <w:pPr>
        <w:spacing w:before="0" w:after="0"/>
      </w:pPr>
    </w:p>
    <w:p>
      <w:r>
        <w:t xml:space="preserve">Prihodi iz nadležnog proračuna za financiranje rashoda poslovanja povećani su za 40,2 % u odnosu na prošlu godinu zbog povećanja plaća zaposlenih i otvaranja nove odgojno - obrazovne skupine.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2.209,15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12.333,91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558,3</w:t>
            </w:r>
          </w:p>
        </w:tc>
      </w:tr>
    </w:tbl>
    <w:p>
      <w:pPr>
        <w:spacing w:before="0" w:after="0"/>
      </w:pPr>
    </w:p>
    <w:p>
      <w:r>
        <w:t xml:space="preserve">Prihodi iz nadležnog proračuna za financiranje rashoda za nabavu nefinancijske imovine su značajno povećani u odnosu na prošlu godinu zbog uređenja nove odgojno - obrazovne skupine.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410.182,87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539.714,34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131,6</w:t>
            </w:r>
          </w:p>
        </w:tc>
      </w:tr>
    </w:tbl>
    <w:p>
      <w:pPr>
        <w:spacing w:before="0" w:after="0"/>
      </w:pPr>
    </w:p>
    <w:p>
      <w:r>
        <w:t xml:space="preserve">Plaće za redovan rad - povećanje troškova za 31,6 %  zbog povećanja plaća 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25.146,07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36.085,81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143,5</w:t>
            </w:r>
          </w:p>
        </w:tc>
      </w:tr>
    </w:tbl>
    <w:p>
      <w:pPr>
        <w:spacing w:before="0" w:after="0"/>
      </w:pPr>
    </w:p>
    <w:p>
      <w:r>
        <w:t xml:space="preserve">Ostali rashodi za zaposlene imaju povećanje za 43,5% u odnosu na prošlogodišnje razdoblje jer je uvedena isplata za prehranu radnicima.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67.644,53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88.565,56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130,9</w:t>
            </w:r>
          </w:p>
        </w:tc>
      </w:tr>
    </w:tbl>
    <w:p>
      <w:pPr>
        <w:spacing w:before="0" w:after="0"/>
      </w:pPr>
    </w:p>
    <w:p>
      <w:r>
        <w:t xml:space="preserve">Doprinosi na plaće  imaju povećanje za 30,9% u odnosu na prošlogodišnje razdoblje zbog povećanja plaća 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12.385,05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15.121,19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122,1</w:t>
            </w:r>
          </w:p>
        </w:tc>
      </w:tr>
    </w:tbl>
    <w:p>
      <w:pPr>
        <w:spacing w:before="0" w:after="0"/>
      </w:pPr>
    </w:p>
    <w:p>
      <w:r>
        <w:t xml:space="preserve">Uredski materijal i ostali materijalni rashodi imaju povećanje od 22,1%  u odnosu na prošlogodišnje razdoblje zbog otvaranja nove odgojno – obrazovne skupine.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1.866,73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1085,0</w:t>
            </w:r>
          </w:p>
        </w:tc>
      </w:tr>
    </w:tbl>
    <w:p>
      <w:pPr>
        <w:spacing w:before="0" w:after="0"/>
      </w:pPr>
    </w:p>
    <w:p>
      <w:r>
        <w:t xml:space="preserve">Sitni inventar i auto gume značajno su uvećani u odnosu na prošlogodišnje razdoblje zbog opremanja nove odgojno – obrazovne skupine.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2.313,92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1474,2</w:t>
            </w:r>
          </w:p>
        </w:tc>
      </w:tr>
    </w:tbl>
    <w:p>
      <w:pPr>
        <w:spacing w:before="0" w:after="0"/>
      </w:pPr>
    </w:p>
    <w:p>
      <w:r>
        <w:t xml:space="preserve">Službena, radna i zaštitna odjeća i obuća ima značajno povećanje u odnosu na prošlogodišnje razdoblje zbog veće nabave radne odjeće i  obuće, sklopljen ugovor s URIHOM, vezano za zamjensku kvotu.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1.639,58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5.204,80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317,4</w:t>
            </w:r>
          </w:p>
        </w:tc>
      </w:tr>
    </w:tbl>
    <w:p>
      <w:pPr>
        <w:spacing w:before="0" w:after="0"/>
      </w:pPr>
    </w:p>
    <w:p>
      <w:r>
        <w:t xml:space="preserve">Zdravstvene i veterinarske usluge imaju značajno povećanje u odnosu na prošlogodišnje razdoblje zbog ugovaranja i financiranja logopedskih usluga iz sredstava vrtića.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33.951,86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14.386,03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42,4</w:t>
            </w:r>
          </w:p>
        </w:tc>
      </w:tr>
    </w:tbl>
    <w:p>
      <w:pPr>
        <w:spacing w:before="0" w:after="0"/>
      </w:pPr>
    </w:p>
    <w:p>
      <w:r>
        <w:t xml:space="preserve">Intelektualne i osobne usluge imaju značajno smanjenje u odnosu na prošlogodišnje razdoblje zbog manjeg broja sklapanja Ugovora o djelu.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884,17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2291,8</w:t>
            </w:r>
          </w:p>
        </w:tc>
      </w:tr>
    </w:tbl>
    <w:p>
      <w:pPr>
        <w:spacing w:before="0" w:after="0"/>
      </w:pPr>
    </w:p>
    <w:p>
      <w:r>
        <w:t xml:space="preserve">Reprezentacija imaju značajno povećanje u odnosu na prošlogodišnje razdoblje zbog svečanog otvaranja nove skupine.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6.442,56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Uredska oprema i namještaj  značajno su uvećani u odnosu na prošlogodišnje razdoblje zbog nabave namještaja za novu odgojno-obrazovnu skupinu.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2.209,15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6.124,21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277,2</w:t>
            </w:r>
          </w:p>
        </w:tc>
      </w:tr>
    </w:tbl>
    <w:p>
      <w:pPr>
        <w:spacing w:before="0" w:after="0"/>
      </w:pPr>
    </w:p>
    <w:p>
      <w:r>
        <w:t xml:space="preserve">Uređaji, strojevi i oprema za ostale namjene značajno su uvećani u odnosu na prošlogodišnje razdoblje zbog nabave novih uređaja i opreme za novu odgojno – obrazovnu skupinu.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Nefinancijska imovina (šifre 01+02+03+04+05+06)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15.762,71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24.445,40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155,1</w:t>
            </w:r>
          </w:p>
        </w:tc>
      </w:tr>
    </w:tbl>
    <w:p>
      <w:pPr>
        <w:spacing w:before="0" w:after="0"/>
      </w:pPr>
    </w:p>
    <w:p>
      <w:r>
        <w:t xml:space="preserve">Nefinancijska imovina uvećana je za nabave imovine u 2025. godini i umanjena za obračun ispravka vrijednosti primjenom propisanih stopa.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Nematerijalna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16.938,18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16.938,18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Nematerijalna imovina se odnosi na ulaganje u novi prostor zbog potrebe otvaranja nove odgojno - obrazovne skupine.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0221 do 0228 - 02922)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11.696,70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22.340,27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191,0</w:t>
            </w:r>
          </w:p>
        </w:tc>
      </w:tr>
    </w:tbl>
    <w:p>
      <w:pPr>
        <w:spacing w:before="0" w:after="0"/>
      </w:pPr>
    </w:p>
    <w:p>
      <w:r>
        <w:t xml:space="preserve">Postrojenja i oprema uvećana je za nabavu nove opreme zbog otvaranja nove odgojno - obrazovne skupine i umanjena za obračun ispravka vrijednosti primjenom propisanih stopa.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banci i blagajni (šifre 111+112 do 114)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456,6</w:t>
            </w:r>
          </w:p>
        </w:tc>
      </w:tr>
    </w:tbl>
    <w:p>
      <w:pPr>
        <w:spacing w:before="0" w:after="0"/>
      </w:pPr>
    </w:p>
    <w:p>
      <w:r>
        <w:t xml:space="preserve">Novac u banci i blagajni u iznosu od 71,36 eura odgovara stanju na dan 31.12.2025. godine novca u blagajni obzirom da dječji vrtić više nema svoj žiro račun jer posluje preko jedinstvenog računa Općinske riznice.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4.447,46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1.441,38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32,4</w:t>
            </w:r>
          </w:p>
        </w:tc>
      </w:tr>
    </w:tbl>
    <w:p>
      <w:pPr>
        <w:spacing w:before="0" w:after="0"/>
      </w:pPr>
    </w:p>
    <w:p>
      <w:r>
        <w:t xml:space="preserve">Ostala potraživanja u iznosu od 1.441,48 eura odnose se na potraživanja od HZZO-a za bolovanje preko 42 dana i potraživanja za predujmove.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Predškolsko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662.652,28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820.059,85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123,8</w:t>
            </w:r>
          </w:p>
        </w:tc>
      </w:tr>
    </w:tbl>
    <w:p>
      <w:pPr>
        <w:spacing w:before="0" w:after="0"/>
      </w:pPr>
    </w:p>
    <w:p>
      <w:r>
        <w:t xml:space="preserve">Ukupni rashodi su razvrstani prema funkcijskoj klasifikaciji i odgovaraju Y034 iz obrasca PR-RAS.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u iznosu od 193,76 eura, odnosi se na račune koji su naknadno pristigli, te su isti podmireni u siječnju 2026.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77.533,19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u iznosu od 77.533,19 eura odnosi se na:</w:t>
      </w:r>
      <w:r>
        <w:br/>
      </w:r>
      <w:r>
        <w:t xml:space="preserve">-    231 - obveze za zaposlene u iznosu od 68.651,23 eura, odnosno plaću za prosinac 2025. godine koja je isplaćena 09.01.2026. godine</w:t>
      </w:r>
      <w:r>
        <w:br/>
      </w:r>
      <w:r>
        <w:t xml:space="preserve">-    232 - obveze za materijalne rashode u iznosu od 8.835,96 eura s dospijećem u 2026. godini </w:t>
      </w:r>
      <w:r>
        <w:br/>
      </w:r>
      <w:r>
        <w:t xml:space="preserve">-    27 - obveze za predujmove, depozite, jamčevne pologe i tuđe prihode u iznosu od 46,00 eura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413afa1c6e4df8" /></Relationships>
</file>